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EF91C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低空技术与工程微专业介绍</w:t>
      </w:r>
    </w:p>
    <w:p w14:paraId="628184AE"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一、低空技术与工程微专业简介</w:t>
      </w:r>
    </w:p>
    <w:p w14:paraId="7412B303">
      <w:pPr>
        <w:ind w:firstLine="560" w:firstLineChars="200"/>
        <w:rPr>
          <w:rFonts w:ascii="仿宋_GB2312" w:hAnsi="仿宋_GB2312" w:eastAsia="仿宋_GB2312" w:cs="仿宋_GB2312"/>
          <w:sz w:val="28"/>
          <w:szCs w:val="32"/>
        </w:rPr>
      </w:pPr>
      <w:r>
        <w:rPr>
          <w:rFonts w:ascii="仿宋_GB2312" w:hAnsi="仿宋_GB2312" w:eastAsia="仿宋_GB2312" w:cs="仿宋_GB2312"/>
          <w:sz w:val="28"/>
          <w:szCs w:val="32"/>
        </w:rPr>
        <w:t>本微专业面向国家低空经济快速发展需求，聚焦低空飞行器全链条技术与工程应用，是航天与建筑工程学院开设的</w:t>
      </w:r>
      <w:r>
        <w:rPr>
          <w:rFonts w:ascii="仿宋_GB2312" w:hAnsi="仿宋_GB2312" w:eastAsia="仿宋_GB2312" w:cs="仿宋_GB2312"/>
          <w:bCs/>
          <w:sz w:val="28"/>
          <w:szCs w:val="32"/>
        </w:rPr>
        <w:t>新兴交叉型</w:t>
      </w:r>
      <w:r>
        <w:rPr>
          <w:rFonts w:ascii="仿宋_GB2312" w:hAnsi="仿宋_GB2312" w:eastAsia="仿宋_GB2312" w:cs="仿宋_GB2312"/>
          <w:sz w:val="28"/>
          <w:szCs w:val="32"/>
        </w:rPr>
        <w:t>微专业。共设</w:t>
      </w:r>
      <w:r>
        <w:rPr>
          <w:rFonts w:ascii="仿宋_GB2312" w:hAnsi="仿宋_GB2312" w:eastAsia="仿宋_GB2312" w:cs="仿宋_GB2312"/>
          <w:bCs/>
          <w:sz w:val="28"/>
          <w:szCs w:val="32"/>
        </w:rPr>
        <w:t>4 门核心课程</w:t>
      </w:r>
      <w:r>
        <w:rPr>
          <w:rFonts w:ascii="仿宋_GB2312" w:hAnsi="仿宋_GB2312" w:eastAsia="仿宋_GB2312" w:cs="仿宋_GB2312"/>
          <w:sz w:val="28"/>
          <w:szCs w:val="32"/>
        </w:rPr>
        <w:t>，总学分</w:t>
      </w:r>
      <w:r>
        <w:rPr>
          <w:rFonts w:ascii="仿宋_GB2312" w:hAnsi="仿宋_GB2312" w:eastAsia="仿宋_GB2312" w:cs="仿宋_GB2312"/>
          <w:bCs/>
          <w:sz w:val="28"/>
          <w:szCs w:val="32"/>
        </w:rPr>
        <w:t>8</w:t>
      </w:r>
      <w:bookmarkStart w:id="0" w:name="_GoBack"/>
      <w:bookmarkEnd w:id="0"/>
      <w:r>
        <w:rPr>
          <w:rFonts w:ascii="仿宋_GB2312" w:hAnsi="仿宋_GB2312" w:eastAsia="仿宋_GB2312" w:cs="仿宋_GB2312"/>
          <w:bCs/>
          <w:sz w:val="28"/>
          <w:szCs w:val="32"/>
        </w:rPr>
        <w:t>学分</w:t>
      </w:r>
      <w:r>
        <w:rPr>
          <w:rFonts w:ascii="仿宋_GB2312" w:hAnsi="仿宋_GB2312" w:eastAsia="仿宋_GB2312" w:cs="仿宋_GB2312"/>
          <w:sz w:val="28"/>
          <w:szCs w:val="32"/>
        </w:rPr>
        <w:t>，课程涵盖低空飞行器导航与控制、飞行力学、可靠性与安全工程、低空飞行器总体设计，系统构建低空技术核心知识与实践能力体系，助力学生快速对接低空经济产业需求。</w:t>
      </w:r>
    </w:p>
    <w:p w14:paraId="0E89CED7"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二、培养目标</w:t>
      </w:r>
    </w:p>
    <w:p w14:paraId="6F00F97D">
      <w:pPr>
        <w:ind w:firstLine="560" w:firstLineChars="200"/>
        <w:rPr>
          <w:rFonts w:ascii="仿宋_GB2312" w:hAnsi="仿宋_GB2312" w:eastAsia="仿宋_GB2312" w:cs="仿宋_GB2312"/>
          <w:sz w:val="28"/>
          <w:szCs w:val="32"/>
        </w:rPr>
      </w:pPr>
      <w:r>
        <w:rPr>
          <w:rFonts w:ascii="仿宋_GB2312" w:hAnsi="仿宋_GB2312" w:eastAsia="仿宋_GB2312" w:cs="仿宋_GB2312"/>
          <w:sz w:val="28"/>
          <w:szCs w:val="32"/>
        </w:rPr>
        <w:t>培养具备家国情怀与全球视野，适配低空经济新质生产力发展的交叉型复合型人才。让学生掌握低空飞行器气动原理、动力学与控制、可靠性等核心理论与 AI 辅助技能，具备自主学习、创新创业、工程实践与跨界整合能力，可在低空技术领域从事飞行器设计研发、生产制造、运行维护、安全管理等工作，成长为低空经济领域高素质拔尖创新人才与行业骨干。</w:t>
      </w:r>
    </w:p>
    <w:p w14:paraId="6040DD46"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三、办学条件</w:t>
      </w:r>
    </w:p>
    <w:p w14:paraId="4DBADA77">
      <w:pPr>
        <w:ind w:firstLine="560" w:firstLineChars="200"/>
        <w:rPr>
          <w:rFonts w:ascii="仿宋_GB2312" w:hAnsi="仿宋_GB2312" w:eastAsia="仿宋_GB2312" w:cs="仿宋_GB2312"/>
          <w:sz w:val="28"/>
          <w:szCs w:val="32"/>
        </w:rPr>
      </w:pPr>
      <w:r>
        <w:rPr>
          <w:rFonts w:ascii="仿宋_GB2312" w:hAnsi="仿宋_GB2312" w:eastAsia="仿宋_GB2312" w:cs="仿宋_GB2312"/>
          <w:sz w:val="28"/>
          <w:szCs w:val="32"/>
        </w:rPr>
        <w:t>本微专业由航建学院资深教学与科研团队牵头建设，团队长期从事飞行器设计、低空控制、安全工程等领域教学与研究，理论功底扎实、工程经验丰富。依托学院优质实验平台与科研资源，搭建低空技术实践教学环境；与顺丰丰翼、中航工业多家研究院所、航天六院 41 所等单位共建校企协同培养平台，实现教学内容与产业前沿同步、实践训练与企业需求联动，为学生提供高水平教学与实践保障。</w:t>
      </w:r>
    </w:p>
    <w:p w14:paraId="6D5183F3"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四、招生要求</w:t>
      </w:r>
    </w:p>
    <w:p w14:paraId="4F9CED90">
      <w:pPr>
        <w:ind w:firstLine="560" w:firstLineChars="200"/>
        <w:rPr>
          <w:rFonts w:ascii="仿宋_GB2312" w:hAnsi="仿宋_GB2312" w:eastAsia="仿宋_GB2312" w:cs="仿宋_GB2312"/>
          <w:sz w:val="28"/>
          <w:szCs w:val="32"/>
        </w:rPr>
      </w:pPr>
      <w:r>
        <w:rPr>
          <w:rFonts w:ascii="仿宋_GB2312" w:hAnsi="仿宋_GB2312" w:eastAsia="仿宋_GB2312" w:cs="仿宋_GB2312"/>
          <w:sz w:val="28"/>
          <w:szCs w:val="32"/>
        </w:rPr>
        <w:t>面向</w:t>
      </w:r>
      <w:r>
        <w:rPr>
          <w:rFonts w:ascii="仿宋_GB2312" w:hAnsi="仿宋_GB2312" w:eastAsia="仿宋_GB2312" w:cs="仿宋_GB2312"/>
          <w:bCs/>
          <w:sz w:val="28"/>
          <w:szCs w:val="32"/>
        </w:rPr>
        <w:t>全校各专业学生</w:t>
      </w:r>
      <w:r>
        <w:rPr>
          <w:rFonts w:ascii="仿宋_GB2312" w:hAnsi="仿宋_GB2312" w:eastAsia="仿宋_GB2312" w:cs="仿宋_GB2312"/>
          <w:sz w:val="28"/>
          <w:szCs w:val="32"/>
        </w:rPr>
        <w:t>开放招生，不限原专业背景，优先招收对低空经济、低空飞行器、人工智能、航空航天技术、工程设计与安全管理等方向感兴趣，希望拓展交叉学科视野、提升工程实践与就业竞争力的学生。本专业不限定专业基础，鼓励跨学科学习，计划招生</w:t>
      </w:r>
      <w:r>
        <w:rPr>
          <w:rFonts w:ascii="仿宋_GB2312" w:hAnsi="仿宋_GB2312" w:eastAsia="仿宋_GB2312" w:cs="仿宋_GB2312"/>
          <w:bCs/>
          <w:sz w:val="28"/>
          <w:szCs w:val="32"/>
        </w:rPr>
        <w:t>40 人</w:t>
      </w:r>
      <w:r>
        <w:rPr>
          <w:rFonts w:ascii="仿宋_GB2312" w:hAnsi="仿宋_GB2312" w:eastAsia="仿宋_GB2312" w:cs="仿宋_GB2312"/>
          <w:sz w:val="28"/>
          <w:szCs w:val="32"/>
        </w:rPr>
        <w:t>。</w:t>
      </w:r>
    </w:p>
    <w:p w14:paraId="19A75D15"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五、特色优势</w:t>
      </w:r>
    </w:p>
    <w:p w14:paraId="68005F92">
      <w:pPr>
        <w:ind w:firstLine="560" w:firstLineChars="200"/>
        <w:rPr>
          <w:rFonts w:ascii="仿宋_GB2312" w:hAnsi="仿宋_GB2312" w:eastAsia="仿宋_GB2312" w:cs="仿宋_GB2312"/>
          <w:sz w:val="28"/>
          <w:szCs w:val="32"/>
        </w:rPr>
      </w:pPr>
      <w:r>
        <w:rPr>
          <w:rFonts w:ascii="仿宋_GB2312" w:hAnsi="仿宋_GB2312" w:eastAsia="仿宋_GB2312" w:cs="仿宋_GB2312"/>
          <w:sz w:val="28"/>
          <w:szCs w:val="32"/>
        </w:rPr>
        <w:t>本专业为</w:t>
      </w:r>
      <w:r>
        <w:rPr>
          <w:rFonts w:ascii="仿宋_GB2312" w:hAnsi="仿宋_GB2312" w:eastAsia="仿宋_GB2312" w:cs="仿宋_GB2312"/>
          <w:bCs/>
          <w:sz w:val="28"/>
          <w:szCs w:val="32"/>
        </w:rPr>
        <w:t>新兴交叉、AI 赋能、产教融合</w:t>
      </w:r>
      <w:r>
        <w:rPr>
          <w:rFonts w:ascii="仿宋_GB2312" w:hAnsi="仿宋_GB2312" w:eastAsia="仿宋_GB2312" w:cs="仿宋_GB2312"/>
          <w:sz w:val="28"/>
          <w:szCs w:val="32"/>
        </w:rPr>
        <w:t>特色微专业，打破学科壁垒，构建 “产学研用” 一体化培养体系。课程深度融入深度学习、神经网络等 AI 技术，强化飞行器自主导航、路径规划与抗干扰能力；校企协同覆盖低空产业全链条，实践教学紧贴行业真实需求。学习本专业可显著拓宽知识边界、提升工程实践与创新能力，在低空经济、航空航天、智能装备、安全管理等领域就业优势突出，也为相关方向升学深造奠定交叉学科基础，助力学生抢占低空经济产业发展新机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2DB"/>
    <w:rsid w:val="001A73DA"/>
    <w:rsid w:val="001C0E8D"/>
    <w:rsid w:val="002C4935"/>
    <w:rsid w:val="00340019"/>
    <w:rsid w:val="005B13D6"/>
    <w:rsid w:val="005C7BBB"/>
    <w:rsid w:val="007C0336"/>
    <w:rsid w:val="00903181"/>
    <w:rsid w:val="009741FD"/>
    <w:rsid w:val="00A26742"/>
    <w:rsid w:val="00D8195B"/>
    <w:rsid w:val="00DC6077"/>
    <w:rsid w:val="00DE02DB"/>
    <w:rsid w:val="00E46030"/>
    <w:rsid w:val="00FE1FE2"/>
    <w:rsid w:val="677E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0"/>
    <w:pPr>
      <w:spacing w:before="240" w:after="60" w:line="700" w:lineRule="exact"/>
      <w:jc w:val="center"/>
      <w:outlineLvl w:val="0"/>
    </w:pPr>
    <w:rPr>
      <w:rFonts w:eastAsia="方正小标宋简体" w:asciiTheme="majorHAnsi" w:hAnsiTheme="majorHAnsi" w:cstheme="majorBidi"/>
      <w:bCs/>
      <w:sz w:val="44"/>
      <w:szCs w:val="32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标题 Char"/>
    <w:basedOn w:val="6"/>
    <w:link w:val="4"/>
    <w:uiPriority w:val="0"/>
    <w:rPr>
      <w:rFonts w:eastAsia="方正小标宋简体" w:asciiTheme="majorHAnsi" w:hAnsiTheme="majorHAnsi" w:cstheme="majorBidi"/>
      <w:bCs/>
      <w:sz w:val="44"/>
      <w:szCs w:val="32"/>
    </w:rPr>
  </w:style>
  <w:style w:type="paragraph" w:customStyle="1" w:styleId="9">
    <w:name w:val="正文样式1"/>
    <w:basedOn w:val="1"/>
    <w:link w:val="10"/>
    <w:qFormat/>
    <w:uiPriority w:val="0"/>
    <w:pPr>
      <w:spacing w:before="50" w:beforeLines="50" w:line="594" w:lineRule="exact"/>
      <w:ind w:firstLine="629"/>
    </w:pPr>
    <w:rPr>
      <w:rFonts w:ascii="仿宋_GB2312" w:hAnsi="仿宋_GB2312" w:eastAsia="仿宋_GB2312" w:cs="仿宋_GB2312"/>
      <w:sz w:val="32"/>
      <w:szCs w:val="28"/>
    </w:rPr>
  </w:style>
  <w:style w:type="character" w:customStyle="1" w:styleId="10">
    <w:name w:val="正文样式1 Char"/>
    <w:basedOn w:val="6"/>
    <w:link w:val="9"/>
    <w:uiPriority w:val="0"/>
    <w:rPr>
      <w:rFonts w:ascii="仿宋_GB2312" w:hAnsi="仿宋_GB2312" w:eastAsia="仿宋_GB2312" w:cs="仿宋_GB2312"/>
      <w:sz w:val="32"/>
      <w:szCs w:val="28"/>
    </w:rPr>
  </w:style>
  <w:style w:type="paragraph" w:customStyle="1" w:styleId="11">
    <w:name w:val="样式1"/>
    <w:basedOn w:val="1"/>
    <w:link w:val="12"/>
    <w:qFormat/>
    <w:uiPriority w:val="0"/>
    <w:pPr>
      <w:spacing w:line="594" w:lineRule="exact"/>
      <w:ind w:firstLine="200" w:firstLineChars="200"/>
    </w:pPr>
    <w:rPr>
      <w:rFonts w:ascii="仿宋_GB2312" w:hAnsi="仿宋_GB2312" w:eastAsia="仿宋_GB2312" w:cs="仿宋_GB2312"/>
      <w:sz w:val="32"/>
      <w:szCs w:val="28"/>
    </w:rPr>
  </w:style>
  <w:style w:type="character" w:customStyle="1" w:styleId="12">
    <w:name w:val="样式1 Char"/>
    <w:basedOn w:val="6"/>
    <w:link w:val="11"/>
    <w:uiPriority w:val="0"/>
    <w:rPr>
      <w:rFonts w:ascii="仿宋_GB2312" w:hAnsi="仿宋_GB2312" w:eastAsia="仿宋_GB2312" w:cs="仿宋_GB2312"/>
      <w:sz w:val="32"/>
      <w:szCs w:val="28"/>
    </w:rPr>
  </w:style>
  <w:style w:type="character" w:customStyle="1" w:styleId="13">
    <w:name w:val="页眉 Char"/>
    <w:basedOn w:val="6"/>
    <w:link w:val="3"/>
    <w:uiPriority w:val="99"/>
    <w:rPr>
      <w:sz w:val="18"/>
      <w:szCs w:val="18"/>
    </w:rPr>
  </w:style>
  <w:style w:type="character" w:customStyle="1" w:styleId="14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哈尔滨过程大学航天与建筑工程学院教务处</Company>
  <Pages>2</Pages>
  <Words>879</Words>
  <Characters>887</Characters>
  <Lines>6</Lines>
  <Paragraphs>1</Paragraphs>
  <TotalTime>8</TotalTime>
  <ScaleCrop>false</ScaleCrop>
  <LinksUpToDate>false</LinksUpToDate>
  <CharactersWithSpaces>903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2026-04-03T00:52:00Z</dcterms:created>
  <dc:creator>微软用户</dc:creator>
  <cp:lastModifiedBy>高洁</cp:lastModifiedBy>
  <dcterms:modified xsi:type="dcterms:W3CDTF">2026-05-07T02:57:40Z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eyJoZGlkIjoiYjEyYTlkNDVkMDQxMTM5MGIwNjM1ODBmMzE2MWY2NDMiLCJ1c2VySWQiOiIxODAwMDE0MDA2In0=</vt:lpwstr>
  </property>
  <property fmtid="{D5CDD505-2E9C-101B-9397-08002B2CF9AE}" pid="3" name="KSOProductBuildVer">
    <vt:lpwstr>2052-12.1.0.25222</vt:lpwstr>
  </property>
  <property fmtid="{D5CDD505-2E9C-101B-9397-08002B2CF9AE}" pid="4" name="ICV">
    <vt:lpwstr>B0BC4486DF334E9E99D0767DA8F7B4BB_12</vt:lpwstr>
  </property>
</Properties>
</file>